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EFFF1"/>
        <w:spacing w:line="314" w:lineRule="atLeast"/>
        <w:jc w:val="center"/>
        <w:rPr>
          <w:rFonts w:hint="eastAsia" w:ascii="黑体" w:eastAsia="黑体"/>
          <w:color w:val="252525"/>
          <w:sz w:val="44"/>
          <w:szCs w:val="44"/>
        </w:rPr>
      </w:pPr>
      <w:r>
        <w:rPr>
          <w:rFonts w:hint="eastAsia" w:ascii="黑体" w:eastAsia="黑体"/>
          <w:color w:val="252525"/>
          <w:sz w:val="44"/>
          <w:szCs w:val="44"/>
        </w:rPr>
        <w:t>廊坊市生态环境局广阳区分局</w:t>
      </w:r>
    </w:p>
    <w:p>
      <w:pPr>
        <w:shd w:val="clear" w:color="auto" w:fill="FEFFF1"/>
        <w:spacing w:line="314" w:lineRule="atLeast"/>
        <w:jc w:val="center"/>
        <w:rPr>
          <w:rFonts w:hint="eastAsia" w:ascii="黑体" w:eastAsia="黑体"/>
          <w:color w:val="252525"/>
          <w:sz w:val="44"/>
          <w:szCs w:val="44"/>
        </w:rPr>
      </w:pPr>
      <w:r>
        <w:rPr>
          <w:rFonts w:hint="eastAsia" w:ascii="黑体" w:eastAsia="黑体"/>
          <w:color w:val="252525"/>
          <w:sz w:val="44"/>
          <w:szCs w:val="44"/>
        </w:rPr>
        <w:t>关于《廊坊市和兴石油设备有限公司年产500吨石油设备项目扩建项目</w:t>
      </w:r>
      <w:r>
        <w:rPr>
          <w:rFonts w:hint="eastAsia" w:ascii="黑体" w:eastAsia="黑体"/>
          <w:color w:val="252525"/>
          <w:sz w:val="44"/>
          <w:szCs w:val="44"/>
          <w:lang w:eastAsia="zh-CN"/>
        </w:rPr>
        <w:t>环境影响报告表</w:t>
      </w:r>
      <w:r>
        <w:rPr>
          <w:rFonts w:hint="eastAsia" w:ascii="黑体" w:eastAsia="黑体"/>
          <w:color w:val="252525"/>
          <w:sz w:val="44"/>
          <w:szCs w:val="44"/>
        </w:rPr>
        <w:t>》的</w:t>
      </w:r>
      <w:r>
        <w:rPr>
          <w:rFonts w:hint="eastAsia" w:ascii="黑体" w:eastAsia="黑体"/>
          <w:color w:val="252525"/>
          <w:sz w:val="44"/>
          <w:szCs w:val="44"/>
          <w:lang w:eastAsia="zh-CN"/>
        </w:rPr>
        <w:t>审批前</w:t>
      </w:r>
      <w:r>
        <w:rPr>
          <w:rFonts w:hint="eastAsia" w:ascii="黑体" w:eastAsia="黑体"/>
          <w:color w:val="252525"/>
          <w:sz w:val="44"/>
          <w:szCs w:val="44"/>
        </w:rPr>
        <w:t>公示</w:t>
      </w:r>
    </w:p>
    <w:p>
      <w:pPr>
        <w:pStyle w:val="6"/>
        <w:rPr>
          <w:rFonts w:hint="eastAsia"/>
        </w:rPr>
      </w:pPr>
    </w:p>
    <w:p>
      <w:pPr>
        <w:shd w:val="clear" w:color="auto" w:fill="FEFFF1"/>
        <w:spacing w:line="314" w:lineRule="atLeast"/>
        <w:ind w:firstLine="640"/>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根据建设项目环境影响评价审批程序的有关规定，经审查，我</w:t>
      </w:r>
      <w:r>
        <w:rPr>
          <w:rFonts w:hint="eastAsia" w:ascii="仿宋_GB2312" w:hAnsi="仿宋_GB2312" w:eastAsia="仿宋_GB2312" w:cs="仿宋_GB2312"/>
          <w:color w:val="111111"/>
          <w:sz w:val="32"/>
          <w:szCs w:val="32"/>
          <w:lang w:eastAsia="zh-CN"/>
        </w:rPr>
        <w:t>分</w:t>
      </w:r>
      <w:r>
        <w:rPr>
          <w:rFonts w:hint="eastAsia" w:ascii="仿宋_GB2312" w:hAnsi="仿宋_GB2312" w:eastAsia="仿宋_GB2312" w:cs="仿宋_GB2312"/>
          <w:color w:val="111111"/>
          <w:sz w:val="32"/>
          <w:szCs w:val="32"/>
        </w:rPr>
        <w:t>局拟对《廊坊市和兴石油设备有限公司年产500吨石油设备项目扩建项目环境影响报告表》作出审批意见。</w:t>
      </w:r>
      <w:r>
        <w:rPr>
          <w:rFonts w:hint="eastAsia" w:ascii="仿宋_GB2312" w:hAnsi="仿宋_GB2312" w:eastAsia="仿宋_GB2312" w:cs="仿宋_GB2312"/>
          <w:color w:val="3D3D3D"/>
          <w:sz w:val="32"/>
          <w:szCs w:val="32"/>
          <w:shd w:val="clear" w:color="auto" w:fill="FFFFFF"/>
        </w:rPr>
        <w:t>为保证审批的严肃性、公正性及公众知</w:t>
      </w:r>
      <w:r>
        <w:rPr>
          <w:rFonts w:hint="eastAsia" w:ascii="仿宋_GB2312" w:hAnsi="仿宋_GB2312" w:eastAsia="仿宋_GB2312" w:cs="仿宋_GB2312"/>
          <w:color w:val="111111"/>
          <w:sz w:val="32"/>
          <w:szCs w:val="32"/>
        </w:rPr>
        <w:t>情权，现将该项目环评相关信息予以公示，</w:t>
      </w:r>
      <w:r>
        <w:rPr>
          <w:rFonts w:hint="eastAsia" w:ascii="仿宋_GB2312" w:hAnsi="仿宋_GB2312" w:eastAsia="仿宋_GB2312" w:cs="仿宋_GB2312"/>
          <w:color w:val="3D3D3D"/>
          <w:sz w:val="32"/>
          <w:szCs w:val="32"/>
          <w:shd w:val="clear" w:color="auto" w:fill="FFFFFF"/>
        </w:rPr>
        <w:t>欢迎公众参与建设项目环境保护工作，有关意见可直接向</w:t>
      </w:r>
      <w:r>
        <w:rPr>
          <w:rFonts w:hint="eastAsia" w:ascii="仿宋_GB2312" w:hAnsi="仿宋_GB2312" w:eastAsia="仿宋_GB2312" w:cs="仿宋_GB2312"/>
          <w:color w:val="111111"/>
          <w:sz w:val="32"/>
          <w:szCs w:val="32"/>
        </w:rPr>
        <w:t>廊坊市生态环境局广阳区分局环境影响评价与排放管理股反映。</w:t>
      </w:r>
    </w:p>
    <w:p>
      <w:pPr>
        <w:shd w:val="clear" w:color="auto" w:fill="FEFFF1"/>
        <w:spacing w:line="314" w:lineRule="atLeast"/>
        <w:ind w:firstLine="640"/>
        <w:rPr>
          <w:rFonts w:hint="eastAsia" w:ascii="仿宋_GB2312" w:hAnsi="仿宋_GB2312" w:eastAsia="仿宋_GB2312" w:cs="仿宋_GB2312"/>
          <w:color w:val="111111"/>
          <w:sz w:val="32"/>
          <w:szCs w:val="32"/>
        </w:rPr>
      </w:pPr>
      <w:r>
        <w:rPr>
          <w:rFonts w:hint="eastAsia" w:ascii="仿宋_GB2312" w:hAnsi="仿宋_GB2312" w:eastAsia="仿宋_GB2312" w:cs="仿宋_GB2312"/>
          <w:b/>
          <w:bCs/>
          <w:color w:val="3D3D3D"/>
          <w:sz w:val="32"/>
          <w:szCs w:val="32"/>
          <w:shd w:val="clear" w:color="auto" w:fill="FFFFFF"/>
        </w:rPr>
        <w:t>联系电话：</w:t>
      </w:r>
      <w:r>
        <w:rPr>
          <w:rFonts w:hint="eastAsia" w:ascii="仿宋_GB2312" w:hAnsi="仿宋_GB2312" w:eastAsia="仿宋_GB2312" w:cs="仿宋_GB2312"/>
          <w:color w:val="111111"/>
          <w:sz w:val="32"/>
          <w:szCs w:val="32"/>
        </w:rPr>
        <w:t>0316－2760661  0316－2037687（传真）</w:t>
      </w:r>
    </w:p>
    <w:p>
      <w:pPr>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D3D3D"/>
          <w:sz w:val="32"/>
          <w:szCs w:val="32"/>
          <w:shd w:val="clear" w:color="auto" w:fill="FFFFFF"/>
        </w:rPr>
      </w:pPr>
      <w:r>
        <w:rPr>
          <w:rFonts w:hint="eastAsia" w:ascii="仿宋_GB2312" w:hAnsi="仿宋_GB2312" w:eastAsia="仿宋_GB2312" w:cs="仿宋_GB2312"/>
          <w:b/>
          <w:bCs/>
          <w:color w:val="3D3D3D"/>
          <w:sz w:val="32"/>
          <w:szCs w:val="32"/>
          <w:shd w:val="clear" w:color="auto" w:fill="FFFFFF"/>
        </w:rPr>
        <w:t>通讯地址：</w:t>
      </w:r>
      <w:r>
        <w:rPr>
          <w:rFonts w:hint="eastAsia" w:ascii="仿宋_GB2312" w:hAnsi="仿宋_GB2312" w:eastAsia="仿宋_GB2312" w:cs="仿宋_GB2312"/>
          <w:color w:val="3D3D3D"/>
          <w:sz w:val="32"/>
          <w:szCs w:val="32"/>
          <w:shd w:val="clear" w:color="auto" w:fill="FFFFFF"/>
        </w:rPr>
        <w:t>廊坊市广阳区金光道80号（065000）</w:t>
      </w:r>
    </w:p>
    <w:p>
      <w:pPr>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D3D3D"/>
          <w:sz w:val="32"/>
          <w:szCs w:val="32"/>
          <w:shd w:val="clear" w:color="auto" w:fill="FFFFFF"/>
        </w:rPr>
      </w:pPr>
      <w:r>
        <w:rPr>
          <w:rFonts w:hint="eastAsia" w:ascii="仿宋_GB2312" w:hAnsi="仿宋_GB2312" w:eastAsia="仿宋_GB2312" w:cs="仿宋_GB2312"/>
          <w:b/>
          <w:bCs/>
          <w:color w:val="3D3D3D"/>
          <w:sz w:val="32"/>
          <w:szCs w:val="32"/>
          <w:shd w:val="clear" w:color="auto" w:fill="FFFFFF"/>
        </w:rPr>
        <w:t>电子邮箱：</w:t>
      </w:r>
      <w:r>
        <w:rPr>
          <w:rFonts w:hint="eastAsia" w:ascii="仿宋_GB2312" w:hAnsi="仿宋_GB2312" w:eastAsia="仿宋_GB2312" w:cs="仿宋_GB2312"/>
          <w:color w:val="3D3D3D"/>
          <w:sz w:val="32"/>
          <w:szCs w:val="32"/>
          <w:shd w:val="clear" w:color="auto" w:fill="FFFFFF"/>
        </w:rPr>
        <w:fldChar w:fldCharType="begin"/>
      </w:r>
      <w:r>
        <w:rPr>
          <w:rFonts w:hint="eastAsia" w:ascii="仿宋_GB2312" w:hAnsi="仿宋_GB2312" w:eastAsia="仿宋_GB2312" w:cs="仿宋_GB2312"/>
          <w:color w:val="3D3D3D"/>
          <w:sz w:val="32"/>
          <w:szCs w:val="32"/>
          <w:shd w:val="clear" w:color="auto" w:fill="FFFFFF"/>
        </w:rPr>
        <w:instrText xml:space="preserve"> HYPERLINK "mailto:gyqhbjhpk@126.com" </w:instrText>
      </w:r>
      <w:r>
        <w:rPr>
          <w:rFonts w:hint="eastAsia" w:ascii="仿宋_GB2312" w:hAnsi="仿宋_GB2312" w:eastAsia="仿宋_GB2312" w:cs="仿宋_GB2312"/>
          <w:color w:val="3D3D3D"/>
          <w:sz w:val="32"/>
          <w:szCs w:val="32"/>
          <w:shd w:val="clear" w:color="auto" w:fill="FFFFFF"/>
        </w:rPr>
        <w:fldChar w:fldCharType="separate"/>
      </w:r>
      <w:r>
        <w:rPr>
          <w:rFonts w:hint="eastAsia" w:ascii="仿宋_GB2312" w:hAnsi="仿宋_GB2312" w:eastAsia="仿宋_GB2312" w:cs="仿宋_GB2312"/>
          <w:color w:val="3D3D3D"/>
          <w:sz w:val="32"/>
          <w:szCs w:val="32"/>
          <w:shd w:val="clear" w:color="auto" w:fill="FFFFFF"/>
        </w:rPr>
        <w:t>gyqhbjhpk@126.com</w:t>
      </w:r>
      <w:r>
        <w:rPr>
          <w:rFonts w:hint="eastAsia" w:ascii="仿宋_GB2312" w:hAnsi="仿宋_GB2312" w:eastAsia="仿宋_GB2312" w:cs="仿宋_GB2312"/>
          <w:color w:val="3D3D3D"/>
          <w:sz w:val="32"/>
          <w:szCs w:val="32"/>
          <w:shd w:val="clear" w:color="auto" w:fill="FFFFFF"/>
        </w:rPr>
        <w:fldChar w:fldCharType="end"/>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111111"/>
          <w:kern w:val="2"/>
          <w:sz w:val="32"/>
          <w:szCs w:val="32"/>
          <w:lang w:val="en-US" w:eastAsia="zh-CN" w:bidi="ar-SA"/>
        </w:rPr>
      </w:pPr>
      <w:r>
        <w:rPr>
          <w:rFonts w:hint="eastAsia" w:ascii="仿宋_GB2312" w:hAnsi="仿宋_GB2312" w:eastAsia="仿宋_GB2312" w:cs="仿宋_GB2312"/>
          <w:b/>
          <w:bCs/>
          <w:color w:val="3D3D3D"/>
          <w:sz w:val="32"/>
          <w:szCs w:val="32"/>
          <w:shd w:val="clear" w:color="auto" w:fill="FFFFFF"/>
          <w:lang w:val="en-US" w:eastAsia="zh-CN"/>
        </w:rPr>
        <w:t>建设项目名称</w:t>
      </w:r>
      <w:r>
        <w:rPr>
          <w:rFonts w:hint="eastAsia" w:ascii="仿宋_GB2312" w:hAnsi="仿宋_GB2312" w:eastAsia="仿宋_GB2312" w:cs="仿宋_GB2312"/>
          <w:b w:val="0"/>
          <w:bCs w:val="0"/>
          <w:color w:val="3D3D3D"/>
          <w:sz w:val="32"/>
          <w:szCs w:val="32"/>
          <w:shd w:val="clear" w:color="auto" w:fill="FFFFFF"/>
          <w:lang w:val="en-US" w:eastAsia="zh-CN"/>
        </w:rPr>
        <w:t>：</w:t>
      </w:r>
      <w:r>
        <w:rPr>
          <w:rFonts w:hint="eastAsia" w:ascii="仿宋_GB2312" w:hAnsi="仿宋_GB2312" w:eastAsia="仿宋_GB2312" w:cs="仿宋_GB2312"/>
          <w:color w:val="111111"/>
          <w:kern w:val="2"/>
          <w:sz w:val="32"/>
          <w:szCs w:val="32"/>
          <w:lang w:val="en-US" w:eastAsia="zh-CN" w:bidi="ar-SA"/>
        </w:rPr>
        <w:t>廊坊市和兴石油设备有限公司年产500吨石油设备项目扩建项目</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hint="default" w:ascii="仿宋_GB2312" w:hAnsi="仿宋_GB2312" w:eastAsia="仿宋_GB2312" w:cs="仿宋_GB2312"/>
          <w:color w:val="111111"/>
          <w:kern w:val="2"/>
          <w:sz w:val="32"/>
          <w:szCs w:val="32"/>
          <w:lang w:val="en-US" w:eastAsia="zh-CN" w:bidi="ar-SA"/>
        </w:rPr>
      </w:pPr>
      <w:r>
        <w:rPr>
          <w:rFonts w:hint="eastAsia" w:ascii="仿宋_GB2312" w:hAnsi="仿宋_GB2312" w:eastAsia="仿宋_GB2312" w:cs="仿宋_GB2312"/>
          <w:b/>
          <w:bCs/>
          <w:color w:val="3D3D3D"/>
          <w:sz w:val="32"/>
          <w:szCs w:val="32"/>
          <w:shd w:val="clear" w:color="auto" w:fill="FFFFFF"/>
        </w:rPr>
        <w:t>建设地点</w:t>
      </w:r>
      <w:r>
        <w:rPr>
          <w:rFonts w:hint="eastAsia" w:ascii="仿宋_GB2312" w:hAnsi="仿宋_GB2312" w:eastAsia="仿宋_GB2312" w:cs="仿宋_GB2312"/>
          <w:b w:val="0"/>
          <w:bCs w:val="0"/>
          <w:color w:val="3D3D3D"/>
          <w:sz w:val="32"/>
          <w:szCs w:val="32"/>
          <w:shd w:val="clear" w:color="auto" w:fill="FFFFFF"/>
          <w:lang w:eastAsia="zh-CN"/>
        </w:rPr>
        <w:t>：</w:t>
      </w:r>
      <w:r>
        <w:rPr>
          <w:rFonts w:hint="eastAsia" w:ascii="仿宋_GB2312" w:hAnsi="仿宋_GB2312" w:eastAsia="仿宋_GB2312" w:cs="仿宋_GB2312"/>
          <w:color w:val="111111"/>
          <w:kern w:val="2"/>
          <w:sz w:val="32"/>
          <w:szCs w:val="32"/>
          <w:lang w:val="en-US" w:eastAsia="zh-CN" w:bidi="ar-SA"/>
        </w:rPr>
        <w:t>河北省廊坊市广阳区廊涿线与京廊路交口，采四小区东 250 米处</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111111"/>
          <w:kern w:val="2"/>
          <w:sz w:val="32"/>
          <w:szCs w:val="32"/>
          <w:lang w:val="en-US" w:eastAsia="zh-CN" w:bidi="ar-SA"/>
        </w:rPr>
      </w:pPr>
      <w:r>
        <w:rPr>
          <w:rFonts w:hint="eastAsia" w:ascii="仿宋_GB2312" w:hAnsi="仿宋_GB2312" w:eastAsia="仿宋_GB2312" w:cs="仿宋_GB2312"/>
          <w:b/>
          <w:bCs/>
          <w:color w:val="3D3D3D"/>
          <w:sz w:val="32"/>
          <w:szCs w:val="32"/>
          <w:shd w:val="clear" w:color="auto" w:fill="FFFFFF"/>
        </w:rPr>
        <w:t>建设单位</w:t>
      </w:r>
      <w:r>
        <w:rPr>
          <w:rFonts w:hint="eastAsia" w:ascii="仿宋_GB2312" w:hAnsi="仿宋_GB2312" w:eastAsia="仿宋_GB2312" w:cs="仿宋_GB2312"/>
          <w:b w:val="0"/>
          <w:bCs w:val="0"/>
          <w:color w:val="3D3D3D"/>
          <w:sz w:val="32"/>
          <w:szCs w:val="32"/>
          <w:shd w:val="clear" w:color="auto" w:fill="FFFFFF"/>
          <w:lang w:eastAsia="zh-CN"/>
        </w:rPr>
        <w:t>：</w:t>
      </w:r>
      <w:r>
        <w:rPr>
          <w:rFonts w:hint="eastAsia" w:ascii="仿宋_GB2312" w:hAnsi="仿宋_GB2312" w:eastAsia="仿宋_GB2312" w:cs="仿宋_GB2312"/>
          <w:color w:val="111111"/>
          <w:kern w:val="2"/>
          <w:sz w:val="32"/>
          <w:szCs w:val="32"/>
          <w:lang w:val="en-US" w:eastAsia="zh-CN" w:bidi="ar-SA"/>
        </w:rPr>
        <w:t>廊坊市和兴石油设备有限公司</w:t>
      </w:r>
    </w:p>
    <w:p>
      <w:pPr>
        <w:pStyle w:val="28"/>
        <w:rPr>
          <w:rFonts w:hint="eastAsia" w:ascii="仿宋_GB2312" w:hAnsi="仿宋_GB2312" w:eastAsia="仿宋_GB2312" w:cs="仿宋_GB2312"/>
          <w:color w:val="3D3D3D"/>
          <w:kern w:val="2"/>
          <w:sz w:val="32"/>
          <w:szCs w:val="32"/>
          <w:shd w:val="clear" w:color="auto" w:fill="FFFFFF"/>
          <w:lang w:val="en-US" w:eastAsia="zh-CN" w:bidi="ar-SA"/>
        </w:rPr>
      </w:pPr>
      <w:r>
        <w:rPr>
          <w:rFonts w:hint="eastAsia" w:ascii="仿宋_GB2312" w:hAnsi="仿宋_GB2312" w:eastAsia="仿宋_GB2312" w:cs="仿宋_GB2312"/>
          <w:b/>
          <w:bCs/>
          <w:color w:val="3D3D3D"/>
          <w:sz w:val="32"/>
          <w:szCs w:val="32"/>
          <w:shd w:val="clear" w:color="auto" w:fill="FFFFFF"/>
        </w:rPr>
        <w:t>环评影响评价机构</w:t>
      </w:r>
      <w:r>
        <w:rPr>
          <w:rFonts w:hint="eastAsia" w:ascii="仿宋_GB2312" w:hAnsi="仿宋_GB2312" w:eastAsia="仿宋_GB2312" w:cs="仿宋_GB2312"/>
          <w:b w:val="0"/>
          <w:bCs w:val="0"/>
          <w:color w:val="3D3D3D"/>
          <w:sz w:val="32"/>
          <w:szCs w:val="32"/>
          <w:shd w:val="clear" w:color="auto" w:fill="FFFFFF"/>
          <w:lang w:eastAsia="zh-CN"/>
        </w:rPr>
        <w:t>：</w:t>
      </w:r>
      <w:r>
        <w:rPr>
          <w:rFonts w:hint="eastAsia" w:ascii="仿宋_GB2312" w:hAnsi="仿宋_GB2312" w:eastAsia="仿宋_GB2312" w:cs="仿宋_GB2312"/>
          <w:b w:val="0"/>
          <w:bCs w:val="0"/>
          <w:color w:val="3D3D3D"/>
          <w:kern w:val="2"/>
          <w:sz w:val="32"/>
          <w:szCs w:val="32"/>
          <w:shd w:val="clear" w:color="auto" w:fill="FFFFFF"/>
          <w:lang w:val="en-US" w:eastAsia="zh-CN" w:bidi="ar-SA"/>
        </w:rPr>
        <w:t>廊坊市沐源工程项目管理有限公司</w:t>
      </w:r>
    </w:p>
    <w:p>
      <w:pPr>
        <w:keepNext w:val="0"/>
        <w:keepLines w:val="0"/>
        <w:widowControl/>
        <w:suppressLineNumbers w:val="0"/>
        <w:ind w:firstLine="643" w:firstLineChars="200"/>
        <w:jc w:val="left"/>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建设项目概况</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：廊坊市和兴石油设备有限公司于2014年2月委托天津天发源环境保护事务代 理中心有限公司编制了《年产500吨石油设备项目环境影响报告表》，并于2014年3月12日取得了原廊坊市广阳区环境保护局出具的审批意见（批复文号：廊广环表[2014]003 号）。项目于2014年4月开始建设，2014年5月项目因市场需求原因停止建设，并拆除已建设备及建筑物，该项目不再运行。现厂区内为空地。 为满足市场日益增长的需要，廊坊市和兴石油设备有限公司投资700万元建设 廊坊市和兴石油设备有限公司年产500吨石油设备项目扩建项目。本项目在现有厂区内重新建设生产车间、库房、办公室等，占地面积为11331.8m</w:t>
      </w:r>
      <w:r>
        <w:rPr>
          <w:rFonts w:hint="eastAsia" w:ascii="仿宋_GB2312" w:hAnsi="仿宋_GB2312" w:eastAsia="仿宋_GB2312" w:cs="仿宋_GB2312"/>
          <w:b w:val="0"/>
          <w:bCs w:val="0"/>
          <w:snapToGrid/>
          <w:color w:val="3D3D3D"/>
          <w:kern w:val="2"/>
          <w:sz w:val="32"/>
          <w:szCs w:val="32"/>
          <w:shd w:val="clear" w:color="auto" w:fill="FFFFFF"/>
          <w:vertAlign w:val="superscript"/>
          <w:lang w:val="en-US" w:eastAsia="zh-CN" w:bidi="ar-SA"/>
        </w:rPr>
        <w:t>2</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，建筑面积为 8000m</w:t>
      </w:r>
      <w:r>
        <w:rPr>
          <w:rFonts w:hint="eastAsia" w:ascii="仿宋_GB2312" w:hAnsi="仿宋_GB2312" w:eastAsia="仿宋_GB2312" w:cs="仿宋_GB2312"/>
          <w:b w:val="0"/>
          <w:bCs w:val="0"/>
          <w:snapToGrid/>
          <w:color w:val="3D3D3D"/>
          <w:kern w:val="2"/>
          <w:sz w:val="32"/>
          <w:szCs w:val="32"/>
          <w:shd w:val="clear" w:color="auto" w:fill="FFFFFF"/>
          <w:vertAlign w:val="superscript"/>
          <w:lang w:val="en-US" w:eastAsia="zh-CN" w:bidi="ar-SA"/>
        </w:rPr>
        <w:t>2</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。厂房在原有厂区内建设，不新增用地，新增机加工中心、焊机等生产及辅助设备共计56台（套）。本项目总投资</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700</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 xml:space="preserve">万元，环保投资 </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20</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万元，占总投资的</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2.86%</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。本项目在现有厂区内进行建设，不新增用地，总占地面积</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11331.8m</w:t>
      </w:r>
      <w:r>
        <w:rPr>
          <w:rFonts w:hint="default" w:ascii="仿宋_GB2312" w:hAnsi="仿宋_GB2312" w:eastAsia="仿宋_GB2312" w:cs="仿宋_GB2312"/>
          <w:b w:val="0"/>
          <w:bCs w:val="0"/>
          <w:snapToGrid/>
          <w:color w:val="3D3D3D"/>
          <w:kern w:val="2"/>
          <w:sz w:val="32"/>
          <w:szCs w:val="32"/>
          <w:shd w:val="clear" w:color="auto" w:fill="FFFFFF"/>
          <w:vertAlign w:val="superscript"/>
          <w:lang w:val="en-US" w:eastAsia="zh-CN" w:bidi="ar-SA"/>
        </w:rPr>
        <w:t>2</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 xml:space="preserve">，建筑面积为 </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8000m</w:t>
      </w:r>
      <w:r>
        <w:rPr>
          <w:rFonts w:hint="default" w:ascii="仿宋_GB2312" w:hAnsi="仿宋_GB2312" w:eastAsia="仿宋_GB2312" w:cs="仿宋_GB2312"/>
          <w:b w:val="0"/>
          <w:bCs w:val="0"/>
          <w:snapToGrid/>
          <w:color w:val="3D3D3D"/>
          <w:kern w:val="2"/>
          <w:sz w:val="32"/>
          <w:szCs w:val="32"/>
          <w:shd w:val="clear" w:color="auto" w:fill="FFFFFF"/>
          <w:vertAlign w:val="superscript"/>
          <w:lang w:val="en-US" w:eastAsia="zh-CN" w:bidi="ar-SA"/>
        </w:rPr>
        <w:t>2</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主要包括生产车间、库房、办公室等。根据企业提供土地证明，本项目用地为工业用地。本项目属于《国民经济行业分类》（GB/4754-2017）（2019年修订版）中C3443阀门和旋塞制造，项目不属于《产业结构调整指导目录（2024年本）》（中华人民共和国国家发展和改革委员会令第7号）中 鼓励类、限制类和淘汰类项目，属于允许类项目；不属于《市场准入负面清单》（2022年版）（发改体改规[2022]397号）禁止准入类；项目不属于《河北省禁止投资的产业目录》（2014年版）中禁止类项目。本项目属于C3443阀门和旋塞制造，不属于《廊坊市广阳区、永清县、固安县和涿州市新增产业的禁止和限制目录》（2024年本）中禁止和限制项目。2024年5月9日取得了廊坊市广阳区行政审批局出具的备案信息（备案编号：廊广审批投备字〔2024〕160 号）。项目位于河北省廊坊市广阳区廊涿线与京廊路交口，采四小区东250米处，不在廊坊市广阳区生态红线范围内，距最近的红线区约4297m，项目未触及廊坊市广阳区生态保护红线。项目建设不会导致廊坊市广阳区内生态红线区域服务功能下降，符合生态红线保护的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tLeast"/>
        <w:ind w:left="0" w:leftChars="0" w:right="0" w:rightChars="0" w:firstLine="643" w:firstLineChars="200"/>
        <w:jc w:val="both"/>
        <w:textAlignment w:val="auto"/>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项目建设对环境可能造成的影响</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：本项目主要污染因素有废气、噪声、废水、固体废物。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（1）废气。</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本项目运营期废气主要为各工序产生的颗粒物及非甲烷总烃。</w:t>
      </w:r>
      <w:r>
        <w:rPr>
          <w:rFonts w:hint="eastAsia" w:ascii="仿宋_GB2312" w:hAnsi="仿宋_GB2312" w:eastAsia="仿宋_GB2312" w:cs="仿宋_GB2312"/>
          <w:b/>
          <w:bCs/>
          <w:snapToGrid/>
          <w:color w:val="3D3D3D"/>
          <w:kern w:val="2"/>
          <w:sz w:val="32"/>
          <w:szCs w:val="32"/>
          <w:shd w:val="clear" w:color="auto" w:fill="FFFFFF"/>
          <w:lang w:val="en-US" w:eastAsia="zh-CN" w:bidi="ar-SA"/>
        </w:rPr>
        <w:t>（2）废水。</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本项目废水主要为水主要为食堂废水和生活污水。</w:t>
      </w:r>
      <w:r>
        <w:rPr>
          <w:rFonts w:hint="eastAsia" w:ascii="仿宋_GB2312" w:hAnsi="仿宋_GB2312" w:eastAsia="仿宋_GB2312" w:cs="仿宋_GB2312"/>
          <w:b/>
          <w:bCs/>
          <w:snapToGrid/>
          <w:color w:val="3D3D3D"/>
          <w:kern w:val="2"/>
          <w:sz w:val="32"/>
          <w:szCs w:val="32"/>
          <w:shd w:val="clear" w:color="auto" w:fill="FFFFFF"/>
          <w:lang w:val="en-US" w:eastAsia="zh-CN" w:bidi="ar-SA"/>
        </w:rPr>
        <w:t>（3）噪声。</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本项目主要噪声源主要是来自生产车间中的设备噪声及环保设备等。</w:t>
      </w:r>
      <w:r>
        <w:rPr>
          <w:rFonts w:hint="eastAsia" w:ascii="仿宋_GB2312" w:hAnsi="仿宋_GB2312" w:eastAsia="仿宋_GB2312" w:cs="仿宋_GB2312"/>
          <w:b/>
          <w:bCs/>
          <w:snapToGrid/>
          <w:color w:val="3D3D3D"/>
          <w:kern w:val="2"/>
          <w:sz w:val="32"/>
          <w:szCs w:val="32"/>
          <w:shd w:val="clear" w:color="auto" w:fill="FFFFFF"/>
          <w:lang w:val="en-US" w:eastAsia="zh-CN" w:bidi="ar-SA"/>
        </w:rPr>
        <w:t>（4）固体废物。</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本项目运营期间产生固体废物主要包括废钢材、废水淬钢渣、废打磨片、除尘灰、废切削液、含油钢渣、废催化剂、废焊丝、废布袋、废漆渣、 废液压油、废液压油桶、废切削液桶、废淬火油桶、废漆桶、废活性炭、 废固化剂桶、废过滤棉、含漆废水及职工生活垃圾。</w:t>
      </w:r>
    </w:p>
    <w:p>
      <w:pPr>
        <w:keepNext w:val="0"/>
        <w:keepLines w:val="0"/>
        <w:widowControl/>
        <w:suppressLineNumbers w:val="0"/>
        <w:ind w:firstLine="643" w:firstLineChars="200"/>
        <w:jc w:val="both"/>
        <w:rPr>
          <w:rFonts w:hint="default"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主要环境影响和环境保护对策与措施：①废气</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：项目调漆、喷漆、晾干工序废气采用喷漆房</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水帘+活性炭吸附脱附催化燃烧装置进行处理后经</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1</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根</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15m</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高排气筒</w:t>
      </w:r>
      <w:r>
        <w:rPr>
          <w:rFonts w:hint="default" w:ascii="仿宋_GB2312" w:hAnsi="仿宋_GB2312" w:eastAsia="仿宋_GB2312" w:cs="仿宋_GB2312"/>
          <w:b w:val="0"/>
          <w:bCs w:val="0"/>
          <w:snapToGrid/>
          <w:color w:val="3D3D3D"/>
          <w:kern w:val="2"/>
          <w:sz w:val="32"/>
          <w:szCs w:val="32"/>
          <w:shd w:val="clear" w:color="auto" w:fill="FFFFFF"/>
          <w:lang w:val="en-US" w:eastAsia="zh-CN" w:bidi="ar-SA"/>
        </w:rPr>
        <w:t>DA001</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排放。项目热处理工序废气采用集气罩+油雾拦截器+静电油烟净化器+二级活性炭 净化后经一根15m高排气筒DA004排放。项目下料工序、焊接工序、打磨工序废气采用集气罩+布袋除尘器处理后经1根15m高排气筒DA002排放。项目食堂油烟采用集气罩+静电式油烟净化设备处理后引至食堂楼顶DA003排放。本项目机加工工序</w:t>
      </w:r>
      <w:bookmarkStart w:id="0" w:name="_GoBack"/>
      <w:bookmarkEnd w:id="0"/>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产生废气主要为非甲烷总烃，经集气罩+过滤棉+活性炭吸 附脱附催化燃烧+1根15米高排气筒（DA001）排放。项目废气治理均符合技术要求，均能达标排放。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tLeast"/>
        <w:ind w:left="0" w:leftChars="0" w:right="0" w:rightChars="0" w:firstLine="643" w:firstLineChars="200"/>
        <w:jc w:val="both"/>
        <w:textAlignment w:val="auto"/>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②废水</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：食堂废水经隔油池处理后和生活污 水一同排入化粪池定期清掏用作农肥，不外排。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atLeast"/>
        <w:ind w:left="0" w:leftChars="0" w:right="0" w:rightChars="0" w:firstLine="643" w:firstLineChars="200"/>
        <w:jc w:val="both"/>
        <w:textAlignment w:val="auto"/>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default" w:ascii="仿宋_GB2312" w:hAnsi="仿宋_GB2312" w:eastAsia="仿宋_GB2312" w:cs="仿宋_GB2312"/>
          <w:b/>
          <w:bCs/>
          <w:snapToGrid/>
          <w:color w:val="3D3D3D"/>
          <w:kern w:val="2"/>
          <w:sz w:val="32"/>
          <w:szCs w:val="32"/>
          <w:shd w:val="clear" w:color="auto" w:fill="FFFFFF"/>
          <w:lang w:val="en-US" w:eastAsia="zh-CN" w:bidi="ar-SA"/>
        </w:rPr>
        <w:t>③</w:t>
      </w:r>
      <w:r>
        <w:rPr>
          <w:rFonts w:hint="eastAsia" w:ascii="仿宋_GB2312" w:hAnsi="仿宋_GB2312" w:eastAsia="仿宋_GB2312" w:cs="仿宋_GB2312"/>
          <w:b/>
          <w:bCs/>
          <w:snapToGrid/>
          <w:color w:val="3D3D3D"/>
          <w:kern w:val="2"/>
          <w:sz w:val="32"/>
          <w:szCs w:val="32"/>
          <w:shd w:val="clear" w:color="auto" w:fill="FFFFFF"/>
          <w:lang w:val="en-US" w:eastAsia="zh-CN" w:bidi="ar-SA"/>
        </w:rPr>
        <w:t>噪声：</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设备噪声昼间对厂界预测值的范围为46.13-54.37dB(A)。本项目对产生噪声设备采取了选用低噪声设备、基础减振、厂房隔声等措施，再经距离衰减、空气吸收后，厂界北侧、南侧、西侧、东侧噪声符合《工业企业厂界环境噪声排放标准》(GB12348-08)表1中1类标准。综上所述，项目不会对周围声环境产生明显影响。</w:t>
      </w:r>
    </w:p>
    <w:p>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480" w:lineRule="atLeast"/>
        <w:ind w:left="0" w:leftChars="0" w:right="0" w:rightChars="0" w:firstLine="643" w:firstLineChars="200"/>
        <w:textAlignment w:val="auto"/>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④固废：</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项目一般固体废物处置执行《中华人民共和国固体废物污染环境防治法》（2020 年版）第三章“工业固体废物”标准要求及《一般工业固体废物贮存和填埋 污染控制标准》（GB18599-2020）要求；生活垃圾执行《中华人民共和国固体废 物污染环境防治法》（2020 年版）中第四章“生活垃圾”中的相关内容；危险废物 处置执行《危险废物贮存污染控制标准》（GB18597-2023）要求及相关法律法规。</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snapToGrid/>
          <w:color w:val="3D3D3D"/>
          <w:kern w:val="2"/>
          <w:sz w:val="32"/>
          <w:szCs w:val="32"/>
          <w:shd w:val="clear" w:color="auto" w:fill="FFFFFF"/>
          <w:lang w:val="en-US" w:eastAsia="zh-CN" w:bidi="ar-SA"/>
        </w:rPr>
      </w:pPr>
      <w:r>
        <w:rPr>
          <w:rFonts w:hint="eastAsia" w:ascii="仿宋_GB2312" w:hAnsi="仿宋_GB2312" w:eastAsia="仿宋_GB2312" w:cs="仿宋_GB2312"/>
          <w:b/>
          <w:bCs/>
          <w:snapToGrid/>
          <w:color w:val="3D3D3D"/>
          <w:kern w:val="2"/>
          <w:sz w:val="32"/>
          <w:szCs w:val="32"/>
          <w:shd w:val="clear" w:color="auto" w:fill="FFFFFF"/>
          <w:lang w:val="en-US" w:eastAsia="zh-CN" w:bidi="ar-SA"/>
        </w:rPr>
        <w:t>2.审批单位开展的公众参与情况：</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我分局在廊坊市广阳区政府网站发布了项目受理公示，公示期限内未收到公众反馈意见。</w:t>
      </w:r>
    </w:p>
    <w:p>
      <w:pPr>
        <w:pStyle w:val="6"/>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hint="eastAsia"/>
          <w:lang w:val="en-US" w:eastAsia="zh-CN"/>
        </w:rPr>
      </w:pPr>
      <w:r>
        <w:rPr>
          <w:rStyle w:val="18"/>
          <w:rFonts w:ascii="仿宋_GB2312" w:hAnsi="微软雅黑" w:eastAsia="仿宋_GB2312" w:cs="仿宋_GB2312"/>
          <w:b/>
          <w:i w:val="0"/>
          <w:caps w:val="0"/>
          <w:color w:val="333333"/>
          <w:spacing w:val="0"/>
          <w:sz w:val="32"/>
          <w:szCs w:val="32"/>
          <w:shd w:val="clear" w:fill="FFFFFF"/>
        </w:rPr>
        <w:t>听证权利告知</w:t>
      </w:r>
      <w:r>
        <w:rPr>
          <w:rFonts w:hint="eastAsia" w:ascii="仿宋_GB2312" w:hAnsi="宋体" w:eastAsia="仿宋_GB2312" w:cs="仿宋_GB2312"/>
          <w:i w:val="0"/>
          <w:caps w:val="0"/>
          <w:color w:val="333333"/>
          <w:spacing w:val="0"/>
          <w:sz w:val="32"/>
          <w:szCs w:val="32"/>
          <w:shd w:val="clear" w:fill="FFFFFF"/>
        </w:rPr>
        <w:t>：</w:t>
      </w:r>
      <w:r>
        <w:rPr>
          <w:rFonts w:hint="eastAsia" w:ascii="仿宋_GB2312" w:hAnsi="仿宋_GB2312" w:eastAsia="仿宋_GB2312" w:cs="仿宋_GB2312"/>
          <w:b w:val="0"/>
          <w:bCs w:val="0"/>
          <w:snapToGrid/>
          <w:color w:val="3D3D3D"/>
          <w:kern w:val="2"/>
          <w:sz w:val="32"/>
          <w:szCs w:val="32"/>
          <w:shd w:val="clear" w:color="auto" w:fill="FFFFFF"/>
          <w:lang w:val="en-US" w:eastAsia="zh-CN" w:bidi="ar-SA"/>
        </w:rPr>
        <w:t>依据《中华人民共和国行政许可法》，自公示起5个工作日内申请人、利害关系人可对拟作出的建设项目环境影响评价文件审批意见要求听证。</w:t>
      </w:r>
    </w:p>
    <w:p/>
    <w:sectPr>
      <w:headerReference r:id="rId3" w:type="default"/>
      <w:pgSz w:w="16840" w:h="11907" w:orient="landscape"/>
      <w:pgMar w:top="1797" w:right="1440" w:bottom="1797"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Cambria Math">
    <w:altName w:val="Palatino Linotype"/>
    <w:panose1 w:val="02040503050406030204"/>
    <w:charset w:val="00"/>
    <w:family w:val="roman"/>
    <w:pitch w:val="default"/>
    <w:sig w:usb0="00000000" w:usb1="00000000" w:usb2="00000000" w:usb3="00000000" w:csb0="2000019F" w:csb1="00000000"/>
  </w:font>
  <w:font w:name="微软雅黑">
    <w:altName w:val="黑体"/>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E38B8"/>
    <w:multiLevelType w:val="singleLevel"/>
    <w:tmpl w:val="429E38B8"/>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37FE"/>
    <w:rsid w:val="025C6B5C"/>
    <w:rsid w:val="09EE1B48"/>
    <w:rsid w:val="15137EA5"/>
    <w:rsid w:val="18E1186A"/>
    <w:rsid w:val="2CEA0E76"/>
    <w:rsid w:val="30C55661"/>
    <w:rsid w:val="352A5276"/>
    <w:rsid w:val="367C1A8D"/>
    <w:rsid w:val="37263FF9"/>
    <w:rsid w:val="37B622FE"/>
    <w:rsid w:val="38A416C5"/>
    <w:rsid w:val="3B5A7D91"/>
    <w:rsid w:val="3BC807E3"/>
    <w:rsid w:val="49C76AB9"/>
    <w:rsid w:val="4B675262"/>
    <w:rsid w:val="587815D2"/>
    <w:rsid w:val="5C752AAA"/>
    <w:rsid w:val="63A77E68"/>
    <w:rsid w:val="69213E7D"/>
    <w:rsid w:val="6A3F00C4"/>
    <w:rsid w:val="6BCD4878"/>
    <w:rsid w:val="6E791D92"/>
    <w:rsid w:val="6FF214BE"/>
    <w:rsid w:val="738570B0"/>
    <w:rsid w:val="749A7639"/>
    <w:rsid w:val="7BF6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lang w:val="en-US" w:eastAsia="zh-CN" w:bidi="ar-SA"/>
    </w:rPr>
  </w:style>
  <w:style w:type="paragraph" w:styleId="5">
    <w:name w:val="heading 2"/>
    <w:basedOn w:val="1"/>
    <w:next w:val="6"/>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napToGrid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ascii="宋体"/>
      <w:sz w:val="25"/>
      <w:szCs w:val="25"/>
    </w:rPr>
  </w:style>
  <w:style w:type="paragraph" w:styleId="3">
    <w:name w:val="Body Text"/>
    <w:basedOn w:val="1"/>
    <w:next w:val="4"/>
    <w:qFormat/>
    <w:uiPriority w:val="0"/>
    <w:rPr>
      <w:sz w:val="24"/>
    </w:rPr>
  </w:style>
  <w:style w:type="paragraph" w:styleId="4">
    <w:name w:val="List Bullet 5"/>
    <w:basedOn w:val="1"/>
    <w:qFormat/>
    <w:uiPriority w:val="0"/>
    <w:pPr>
      <w:numPr>
        <w:ilvl w:val="0"/>
        <w:numId w:val="1"/>
      </w:numPr>
    </w:pPr>
  </w:style>
  <w:style w:type="paragraph" w:styleId="6">
    <w:name w:val="Normal Indent"/>
    <w:basedOn w:val="1"/>
    <w:next w:val="7"/>
    <w:qFormat/>
    <w:uiPriority w:val="0"/>
    <w:pPr>
      <w:ind w:firstLine="420"/>
    </w:pPr>
  </w:style>
  <w:style w:type="paragraph" w:styleId="8">
    <w:name w:val="Body Text Indent"/>
    <w:basedOn w:val="1"/>
    <w:qFormat/>
    <w:uiPriority w:val="0"/>
    <w:pPr>
      <w:ind w:firstLine="480"/>
    </w:pPr>
    <w:rPr>
      <w:rFonts w:ascii="仿宋_GB2312"/>
    </w:rPr>
  </w:style>
  <w:style w:type="paragraph" w:styleId="9">
    <w:name w:val="Plain Text"/>
    <w:basedOn w:val="1"/>
    <w:qFormat/>
    <w:uiPriority w:val="0"/>
    <w:rPr>
      <w:rFonts w:ascii="宋体" w:hAnsi="Courier New"/>
      <w:kern w:val="0"/>
      <w:sz w:val="28"/>
      <w:szCs w:val="20"/>
    </w:rPr>
  </w:style>
  <w:style w:type="paragraph" w:styleId="10">
    <w:name w:val="toc 8"/>
    <w:basedOn w:val="1"/>
    <w:next w:val="1"/>
    <w:qFormat/>
    <w:uiPriority w:val="0"/>
    <w:pPr>
      <w:widowControl w:val="0"/>
      <w:ind w:left="1470"/>
    </w:pPr>
    <w:rPr>
      <w:rFonts w:ascii="Calibri" w:hAnsi="Calibri" w:eastAsiaTheme="minorEastAsia" w:cstheme="minorBidi"/>
      <w:kern w:val="2"/>
      <w:sz w:val="18"/>
      <w:szCs w:val="18"/>
      <w:lang w:val="en-US" w:eastAsia="zh-CN" w:bidi="ar-SA"/>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仿宋_GB2312" w:hAnsi="宋体" w:eastAsia="仿宋_GB2312"/>
      <w:spacing w:val="-14"/>
      <w:sz w:val="24"/>
      <w:szCs w:val="24"/>
    </w:rPr>
  </w:style>
  <w:style w:type="paragraph" w:styleId="13">
    <w:name w:val="Normal (Web)"/>
    <w:basedOn w:val="1"/>
    <w:next w:val="10"/>
    <w:qFormat/>
    <w:uiPriority w:val="0"/>
    <w:pPr>
      <w:widowControl/>
      <w:spacing w:before="100" w:beforeAutospacing="1" w:after="100" w:afterAutospacing="1"/>
      <w:jc w:val="left"/>
    </w:pPr>
    <w:rPr>
      <w:rFonts w:ascii="宋体"/>
      <w:kern w:val="0"/>
      <w:sz w:val="24"/>
      <w:szCs w:val="20"/>
    </w:rPr>
  </w:style>
  <w:style w:type="paragraph" w:styleId="14">
    <w:name w:val="Body Text First Indent 2"/>
    <w:basedOn w:val="8"/>
    <w:next w:val="1"/>
    <w:qFormat/>
    <w:uiPriority w:val="0"/>
    <w:pPr>
      <w:ind w:firstLine="420" w:firstLineChars="200"/>
    </w:pPr>
  </w:style>
  <w:style w:type="table" w:styleId="16">
    <w:name w:val="Table Grid"/>
    <w:basedOn w:val="1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Strong"/>
    <w:basedOn w:val="17"/>
    <w:qFormat/>
    <w:uiPriority w:val="0"/>
    <w:rPr>
      <w:b/>
    </w:rPr>
  </w:style>
  <w:style w:type="paragraph" w:customStyle="1" w:styleId="19">
    <w:name w:val="正文 首行缩进:  2 字符"/>
    <w:basedOn w:val="1"/>
    <w:semiHidden/>
    <w:qFormat/>
    <w:uiPriority w:val="0"/>
    <w:pPr>
      <w:spacing w:line="520" w:lineRule="exact"/>
      <w:ind w:firstLine="480" w:firstLineChars="200"/>
    </w:pPr>
    <w:rPr>
      <w:kern w:val="44"/>
      <w:sz w:val="24"/>
    </w:rPr>
  </w:style>
  <w:style w:type="paragraph" w:customStyle="1" w:styleId="20">
    <w:name w:val="Default"/>
    <w:basedOn w:val="21"/>
    <w:next w:val="2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批注文字1"/>
    <w:qFormat/>
    <w:locked/>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2">
    <w:name w:val="Char Char Char Char Char Char Char Char Char Char Char Char Char"/>
    <w:basedOn w:val="1"/>
    <w:next w:val="23"/>
    <w:qFormat/>
    <w:uiPriority w:val="0"/>
  </w:style>
  <w:style w:type="paragraph" w:customStyle="1" w:styleId="23">
    <w:name w:val="point101"/>
    <w:next w:val="24"/>
    <w:qFormat/>
    <w:uiPriority w:val="0"/>
    <w:pPr>
      <w:spacing w:before="100" w:beforeAutospacing="1" w:after="100" w:afterAutospacing="1" w:line="390" w:lineRule="atLeast"/>
    </w:pPr>
    <w:rPr>
      <w:rFonts w:ascii="宋体" w:hAnsi="宋体" w:cs="宋体" w:eastAsiaTheme="minorEastAsia"/>
      <w:sz w:val="18"/>
      <w:szCs w:val="18"/>
      <w:lang w:val="en-US" w:eastAsia="zh-CN" w:bidi="ar-SA"/>
    </w:rPr>
  </w:style>
  <w:style w:type="paragraph" w:customStyle="1" w:styleId="24">
    <w:name w:val="样式1"/>
    <w:basedOn w:val="11"/>
    <w:next w:val="25"/>
    <w:qFormat/>
    <w:uiPriority w:val="0"/>
    <w:pPr>
      <w:spacing w:line="480" w:lineRule="atLeast"/>
      <w:jc w:val="center"/>
    </w:pPr>
    <w:rPr>
      <w:sz w:val="24"/>
    </w:rPr>
  </w:style>
  <w:style w:type="paragraph" w:customStyle="1" w:styleId="25">
    <w:name w:val="标题样式2"/>
    <w:next w:val="13"/>
    <w:qFormat/>
    <w:uiPriority w:val="0"/>
    <w:pPr>
      <w:keepNext/>
      <w:keepLines/>
      <w:widowControl w:val="0"/>
      <w:tabs>
        <w:tab w:val="left" w:pos="1440"/>
      </w:tabs>
      <w:adjustRightInd w:val="0"/>
      <w:ind w:left="1440" w:hanging="360"/>
      <w:textAlignment w:val="baseline"/>
      <w:outlineLvl w:val="1"/>
    </w:pPr>
    <w:rPr>
      <w:rFonts w:ascii="黑体" w:hAnsi="Arial" w:eastAsia="黑体" w:cstheme="minorBidi"/>
      <w:b/>
      <w:sz w:val="24"/>
      <w:szCs w:val="24"/>
      <w:lang w:val="en-US" w:eastAsia="zh-CN" w:bidi="ar-SA"/>
    </w:rPr>
  </w:style>
  <w:style w:type="paragraph" w:customStyle="1" w:styleId="26">
    <w:name w:val="样式 正文文本 + 首行缩进:  2 字符"/>
    <w:basedOn w:val="3"/>
    <w:next w:val="1"/>
    <w:qFormat/>
    <w:uiPriority w:val="99"/>
    <w:pPr>
      <w:widowControl/>
      <w:spacing w:after="200" w:line="480" w:lineRule="exact"/>
      <w:ind w:firstLine="480" w:firstLineChars="200"/>
      <w:jc w:val="left"/>
    </w:pPr>
    <w:rPr>
      <w:rFonts w:hint="eastAsia" w:ascii="宋体" w:hAnsi="宋体"/>
      <w:kern w:val="0"/>
      <w:szCs w:val="20"/>
    </w:rPr>
  </w:style>
  <w:style w:type="paragraph" w:customStyle="1" w:styleId="27">
    <w:name w:val="纯文本1"/>
    <w:basedOn w:val="1"/>
    <w:qFormat/>
    <w:uiPriority w:val="99"/>
    <w:pPr>
      <w:autoSpaceDE w:val="0"/>
      <w:autoSpaceDN w:val="0"/>
      <w:adjustRightInd w:val="0"/>
      <w:textAlignment w:val="baseline"/>
    </w:pPr>
    <w:rPr>
      <w:rFonts w:ascii="宋体"/>
      <w:szCs w:val="20"/>
    </w:rPr>
  </w:style>
  <w:style w:type="paragraph" w:customStyle="1" w:styleId="28">
    <w:name w:val="X-0"/>
    <w:basedOn w:val="29"/>
    <w:qFormat/>
    <w:uiPriority w:val="0"/>
  </w:style>
  <w:style w:type="paragraph" w:customStyle="1" w:styleId="29">
    <w:name w:val="0-1正文"/>
    <w:basedOn w:val="1"/>
    <w:qFormat/>
    <w:uiPriority w:val="0"/>
    <w:pPr>
      <w:autoSpaceDE w:val="0"/>
      <w:autoSpaceDN w:val="0"/>
      <w:adjustRightInd w:val="0"/>
      <w:snapToGrid w:val="0"/>
      <w:spacing w:line="360" w:lineRule="auto"/>
      <w:ind w:firstLine="200" w:firstLineChars="200"/>
    </w:pPr>
    <w:rPr>
      <w:rFonts w:cs="宋体"/>
      <w:kern w:val="0"/>
      <w:szCs w:val="21"/>
    </w:rPr>
  </w:style>
  <w:style w:type="paragraph" w:customStyle="1" w:styleId="30">
    <w:name w:val="0-5新正文"/>
    <w:basedOn w:val="1"/>
    <w:qFormat/>
    <w:uiPriority w:val="0"/>
    <w:pPr>
      <w:spacing w:line="360" w:lineRule="auto"/>
      <w:ind w:firstLine="200" w:firstLineChars="200"/>
    </w:pPr>
    <w:rPr>
      <w:sz w:val="24"/>
      <w:szCs w:val="20"/>
    </w:rPr>
  </w:style>
  <w:style w:type="paragraph" w:customStyle="1" w:styleId="31">
    <w:name w:val="报告表正文"/>
    <w:basedOn w:val="32"/>
    <w:qFormat/>
    <w:uiPriority w:val="0"/>
    <w:pPr>
      <w:adjustRightInd w:val="0"/>
      <w:spacing w:line="312" w:lineRule="auto"/>
      <w:ind w:left="113" w:right="113" w:firstLine="482"/>
      <w:jc w:val="left"/>
      <w:textAlignment w:val="baseline"/>
    </w:pPr>
    <w:rPr>
      <w:rFonts w:eastAsia="宋体"/>
      <w:kern w:val="0"/>
      <w:sz w:val="24"/>
    </w:rPr>
  </w:style>
  <w:style w:type="paragraph" w:customStyle="1" w:styleId="32">
    <w:name w:val="_Style 56"/>
    <w:basedOn w:val="1"/>
    <w:next w:val="1"/>
    <w:qFormat/>
    <w:uiPriority w:val="0"/>
    <w:pPr>
      <w:spacing w:line="480" w:lineRule="exact"/>
      <w:ind w:firstLine="480" w:firstLineChars="200"/>
    </w:pPr>
    <w:rPr>
      <w:rFonts w:ascii="仿宋_GB2312" w:hAnsi="宋体" w:eastAsia="仿宋_GB2312"/>
      <w:sz w:val="28"/>
    </w:rPr>
  </w:style>
  <w:style w:type="paragraph" w:customStyle="1" w:styleId="33">
    <w:name w:val="Table Paragraph"/>
    <w:basedOn w:val="1"/>
    <w:qFormat/>
    <w:uiPriority w:val="1"/>
    <w:pPr>
      <w:jc w:val="center"/>
    </w:pPr>
    <w:rPr>
      <w:rFonts w:eastAsia="Times New Roman"/>
      <w:lang w:val="zh-CN" w:bidi="zh-CN"/>
    </w:rPr>
  </w:style>
  <w:style w:type="paragraph" w:customStyle="1" w:styleId="34">
    <w:name w:val="环评正文"/>
    <w:basedOn w:val="1"/>
    <w:qFormat/>
    <w:uiPriority w:val="0"/>
    <w:pPr>
      <w:spacing w:line="360" w:lineRule="auto"/>
      <w:ind w:firstLine="200" w:firstLineChars="200"/>
    </w:pPr>
    <w:rPr>
      <w:rFonts w:ascii="Cambria Math" w:hAnsi="Cambria Math" w:eastAsia="Arial" w:cs="Cambria Math"/>
      <w:sz w:val="24"/>
    </w:rPr>
  </w:style>
  <w:style w:type="paragraph" w:customStyle="1" w:styleId="35">
    <w:name w:val="J正文J"/>
    <w:basedOn w:val="1"/>
    <w:qFormat/>
    <w:uiPriority w:val="0"/>
    <w:pPr>
      <w:spacing w:line="360" w:lineRule="auto"/>
      <w:ind w:firstLine="200" w:firstLineChars="200"/>
    </w:pPr>
    <w:rPr>
      <w:rFonts w:ascii="Calibri" w:hAnsi="Calibri" w:cs="宋体"/>
      <w:kern w:val="0"/>
      <w:sz w:val="24"/>
    </w:rPr>
  </w:style>
  <w:style w:type="paragraph" w:customStyle="1" w:styleId="36">
    <w:name w:val="正文1"/>
    <w:basedOn w:val="1"/>
    <w:next w:val="1"/>
    <w:qFormat/>
    <w:uiPriority w:val="0"/>
    <w:pPr>
      <w:snapToGrid w:val="0"/>
      <w:spacing w:line="500" w:lineRule="exact"/>
      <w:ind w:firstLine="200" w:firstLineChars="200"/>
    </w:pPr>
    <w:rPr>
      <w:sz w:val="24"/>
    </w:rPr>
  </w:style>
  <w:style w:type="paragraph" w:customStyle="1" w:styleId="37">
    <w:name w:val="正文-1"/>
    <w:qFormat/>
    <w:uiPriority w:val="0"/>
    <w:pPr>
      <w:spacing w:line="480" w:lineRule="exact"/>
      <w:ind w:firstLine="200" w:firstLineChars="200"/>
      <w:jc w:val="both"/>
    </w:pPr>
    <w:rPr>
      <w:rFonts w:ascii="Times New Roman" w:hAnsi="Times New Roman" w:eastAsia="宋体" w:cs="宋体"/>
      <w:kern w:val="2"/>
      <w:sz w:val="24"/>
      <w:szCs w:val="22"/>
      <w:lang w:val="en-US" w:eastAsia="zh-CN" w:bidi="ar-SA"/>
    </w:rPr>
  </w:style>
  <w:style w:type="paragraph" w:customStyle="1" w:styleId="38">
    <w:name w:val="武正文"/>
    <w:basedOn w:val="1"/>
    <w:qFormat/>
    <w:uiPriority w:val="0"/>
    <w:pPr>
      <w:spacing w:line="360" w:lineRule="auto"/>
      <w:ind w:firstLine="200" w:firstLineChars="200"/>
    </w:pPr>
    <w:rPr>
      <w:color w:val="000000"/>
      <w:sz w:val="24"/>
      <w:szCs w:val="24"/>
    </w:rPr>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小芳</cp:lastModifiedBy>
  <dcterms:modified xsi:type="dcterms:W3CDTF">2025-01-06T05:32:47Z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